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tabs>
          <w:tab w:leader="none" w:pos="720" w:val="left"/>
        </w:tabs>
        <w:spacing w:after="100" w:line="240" w:lineRule="auto"/>
        <w:ind/>
        <w:jc w:val="left"/>
        <w:outlineLvl w:val="1"/>
        <w:rPr>
          <w:rFonts w:ascii="Arial" w:hAnsi="Arial"/>
          <w:sz w:val="28"/>
        </w:rPr>
      </w:pPr>
      <w:r>
        <w:rPr>
          <w:rFonts w:ascii="Arial" w:hAnsi="Arial"/>
          <w:b w:val="1"/>
          <w:sz w:val="28"/>
        </w:rPr>
        <w:t xml:space="preserve">   Сведения о численности пенсионеров и суммах</w:t>
      </w:r>
      <w:r>
        <w:rPr>
          <w:rFonts w:ascii="Arial" w:hAnsi="Arial"/>
          <w:b w:val="1"/>
          <w:sz w:val="28"/>
        </w:rPr>
        <w:t xml:space="preserve"> назначенных </w:t>
      </w:r>
      <w:r>
        <w:rPr>
          <w:rFonts w:ascii="Arial" w:hAnsi="Arial"/>
          <w:b w:val="1"/>
          <w:sz w:val="28"/>
        </w:rPr>
        <w:t xml:space="preserve">им </w:t>
      </w:r>
      <w:r>
        <w:rPr>
          <w:rFonts w:ascii="Arial" w:hAnsi="Arial"/>
          <w:b w:val="1"/>
          <w:sz w:val="28"/>
        </w:rPr>
        <w:t xml:space="preserve">пенсий </w:t>
      </w:r>
      <w:r>
        <w:rPr>
          <w:rFonts w:ascii="Arial" w:hAnsi="Arial"/>
          <w:b w:val="1"/>
          <w:sz w:val="28"/>
        </w:rPr>
        <w:br/>
      </w:r>
    </w:p>
    <w:tbl>
      <w:tblPr>
        <w:tblStyle w:val="Style_1"/>
        <w:tblInd w:type="dxa" w:w="-15"/>
        <w:tblBorders>
          <w:top w:color="000000" w:sz="2" w:val="single"/>
          <w:left w:color="000000" w:sz="2" w:val="single"/>
          <w:bottom w:color="000000" w:sz="2" w:val="single"/>
          <w:right w:color="000000" w:sz="2" w:val="single"/>
          <w:insideH w:color="000000" w:sz="2" w:val="single"/>
          <w:insideV w:color="000000" w:sz="2" w:val="single"/>
        </w:tblBorders>
        <w:tblLayout w:type="fixed"/>
      </w:tblPr>
      <w:tblGrid>
        <w:gridCol w:w="8098"/>
        <w:gridCol w:w="2752"/>
      </w:tblGrid>
      <w:tr>
        <w:tc>
          <w:tcPr>
            <w:tcW w:type="dxa" w:w="8098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shd w:themeFill="accent6" w:themeFillTint="31" w:val="clear"/>
            <w:vAlign w:val="center"/>
          </w:tcPr>
          <w:p w14:paraId="02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75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shd w:themeFill="accent6" w:themeFillTint="31" w:val="clear"/>
            <w:vAlign w:val="center"/>
          </w:tcPr>
          <w:p w14:paraId="03000000">
            <w:pPr>
              <w:spacing w:after="120" w:before="120" w:line="240" w:lineRule="auto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 xml:space="preserve">На </w:t>
            </w:r>
            <w:r>
              <w:rPr>
                <w:rFonts w:ascii="Times New Roman" w:hAnsi="Times New Roman"/>
                <w:b w:val="1"/>
                <w:sz w:val="28"/>
              </w:rPr>
              <w:t>0</w:t>
            </w:r>
            <w:r>
              <w:rPr>
                <w:rFonts w:ascii="Times New Roman" w:hAnsi="Times New Roman"/>
                <w:b w:val="1"/>
                <w:sz w:val="28"/>
              </w:rPr>
              <w:t>1</w:t>
            </w:r>
            <w:r>
              <w:rPr>
                <w:rFonts w:ascii="Times New Roman" w:hAnsi="Times New Roman"/>
                <w:b w:val="1"/>
                <w:sz w:val="28"/>
              </w:rPr>
              <w:t>.</w:t>
            </w:r>
            <w:r>
              <w:rPr>
                <w:rFonts w:ascii="Times New Roman" w:hAnsi="Times New Roman"/>
                <w:b w:val="1"/>
                <w:sz w:val="28"/>
              </w:rPr>
              <w:t>0</w:t>
            </w:r>
            <w:r>
              <w:rPr>
                <w:rFonts w:ascii="Times New Roman" w:hAnsi="Times New Roman"/>
                <w:b w:val="1"/>
                <w:sz w:val="28"/>
              </w:rPr>
              <w:t>1</w:t>
            </w:r>
            <w:r>
              <w:rPr>
                <w:rFonts w:ascii="Times New Roman" w:hAnsi="Times New Roman"/>
                <w:b w:val="1"/>
                <w:sz w:val="28"/>
              </w:rPr>
              <w:t>.</w:t>
            </w:r>
            <w:r>
              <w:rPr>
                <w:rFonts w:ascii="Times New Roman" w:hAnsi="Times New Roman"/>
                <w:b w:val="1"/>
                <w:sz w:val="28"/>
              </w:rPr>
              <w:t>20</w:t>
            </w:r>
            <w:r>
              <w:rPr>
                <w:rFonts w:ascii="Times New Roman" w:hAnsi="Times New Roman"/>
                <w:b w:val="1"/>
                <w:sz w:val="28"/>
              </w:rPr>
              <w:t>2</w:t>
            </w:r>
            <w:r>
              <w:rPr>
                <w:rFonts w:ascii="Times New Roman" w:hAnsi="Times New Roman"/>
                <w:b w:val="1"/>
                <w:sz w:val="28"/>
              </w:rPr>
              <w:t>1</w:t>
            </w:r>
            <w:r>
              <w:rPr>
                <w:rFonts w:ascii="Times New Roman" w:hAnsi="Times New Roman"/>
                <w:b w:val="1"/>
                <w:sz w:val="28"/>
              </w:rPr>
              <w:t xml:space="preserve"> </w:t>
            </w:r>
            <w:r>
              <w:rPr>
                <w:rFonts w:ascii="Times New Roman" w:hAnsi="Times New Roman"/>
                <w:b w:val="1"/>
                <w:sz w:val="28"/>
              </w:rPr>
              <w:t>г.</w:t>
            </w:r>
          </w:p>
        </w:tc>
      </w:tr>
      <w:tr>
        <w:trPr>
          <w:trHeight w:hRule="atLeast" w:val="455"/>
        </w:trPr>
        <w:tc>
          <w:tcPr>
            <w:tcW w:type="dxa" w:w="8098"/>
            <w:tcBorders>
              <w:top w:color="000000" w:sz="8" w:val="single"/>
              <w:left w:color="000000" w:sz="2" w:val="single"/>
              <w:bottom w:color="000000" w:sz="8" w:val="single"/>
              <w:right w:color="000000" w:sz="2" w:val="single"/>
            </w:tcBorders>
            <w:vAlign w:val="bottom"/>
          </w:tcPr>
          <w:p w14:paraId="04000000">
            <w:pPr>
              <w:spacing w:after="120" w:before="12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Численность пенсионеров, человек</w:t>
            </w: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  <w:vertAlign w:val="superscript"/>
              </w:rPr>
              <w:t>)</w:t>
            </w:r>
          </w:p>
        </w:tc>
        <w:tc>
          <w:tcPr>
            <w:tcW w:type="dxa" w:w="2752"/>
            <w:tcBorders>
              <w:top w:color="000000" w:sz="8" w:val="single"/>
              <w:left w:color="000000" w:sz="2" w:val="single"/>
              <w:bottom w:color="000000" w:sz="8" w:val="single"/>
              <w:right w:color="000000" w:sz="2" w:val="single"/>
            </w:tcBorders>
            <w:vAlign w:val="bottom"/>
          </w:tcPr>
          <w:p w14:paraId="05000000">
            <w:pPr>
              <w:spacing w:after="120" w:before="12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  <w:r>
              <w:rPr>
                <w:rFonts w:ascii="Times New Roman" w:hAnsi="Times New Roman"/>
                <w:sz w:val="28"/>
              </w:rPr>
              <w:t>0496</w:t>
            </w:r>
          </w:p>
        </w:tc>
      </w:tr>
      <w:tr>
        <w:trPr>
          <w:trHeight w:hRule="atLeast" w:val="435"/>
        </w:trPr>
        <w:tc>
          <w:tcPr>
            <w:tcW w:type="dxa" w:w="8098"/>
            <w:tcBorders>
              <w:top w:color="000000" w:sz="8" w:val="single"/>
              <w:left w:color="000000" w:sz="2" w:val="single"/>
              <w:bottom w:color="000000" w:sz="8" w:val="single"/>
              <w:right w:color="000000" w:sz="2" w:val="single"/>
            </w:tcBorders>
            <w:vAlign w:val="bottom"/>
          </w:tcPr>
          <w:p w14:paraId="06000000">
            <w:pPr>
              <w:spacing w:after="120" w:before="12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Средний размер назначенных пенсий, рублей </w:t>
            </w:r>
          </w:p>
        </w:tc>
        <w:tc>
          <w:tcPr>
            <w:tcW w:type="dxa" w:w="2752"/>
            <w:tcBorders>
              <w:top w:color="000000" w:sz="8" w:val="single"/>
              <w:left w:color="000000" w:sz="2" w:val="single"/>
              <w:bottom w:color="000000" w:sz="8" w:val="single"/>
              <w:right w:color="000000" w:sz="2" w:val="single"/>
            </w:tcBorders>
            <w:vAlign w:val="bottom"/>
          </w:tcPr>
          <w:p w14:paraId="07000000">
            <w:pPr>
              <w:spacing w:after="120" w:before="12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</w:rPr>
              <w:t>4534</w:t>
            </w:r>
            <w:r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>
        <w:tc>
          <w:tcPr>
            <w:tcW w:type="dxa" w:w="8098"/>
            <w:tcBorders>
              <w:top w:color="000000" w:sz="8" w:val="single"/>
              <w:left w:color="000000" w:sz="2" w:val="single"/>
              <w:bottom w:color="000000" w:sz="8" w:val="single"/>
              <w:right w:color="000000" w:sz="2" w:val="single"/>
            </w:tcBorders>
            <w:vAlign w:val="bottom"/>
          </w:tcPr>
          <w:p w14:paraId="08000000">
            <w:pPr>
              <w:spacing w:after="120" w:before="12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Реальный размер назначенных пенсий, в процентах к предыдущему году</w:t>
            </w:r>
          </w:p>
        </w:tc>
        <w:tc>
          <w:tcPr>
            <w:tcW w:type="dxa" w:w="2752"/>
            <w:tcBorders>
              <w:top w:color="000000" w:sz="8" w:val="single"/>
              <w:left w:color="000000" w:sz="2" w:val="single"/>
              <w:bottom w:color="000000" w:sz="8" w:val="single"/>
              <w:right w:color="000000" w:sz="2" w:val="single"/>
            </w:tcBorders>
            <w:vAlign w:val="bottom"/>
          </w:tcPr>
          <w:p w14:paraId="09000000">
            <w:pPr>
              <w:spacing w:after="120" w:before="12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</w:t>
            </w:r>
            <w:r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6</w:t>
            </w:r>
            <w:bookmarkStart w:id="1" w:name="_GoBack"/>
            <w:bookmarkEnd w:id="1"/>
          </w:p>
        </w:tc>
      </w:tr>
      <w:tr>
        <w:tc>
          <w:tcPr>
            <w:tcW w:type="dxa" w:w="10850"/>
            <w:gridSpan w:val="2"/>
            <w:tcBorders>
              <w:top w:color="000000" w:sz="8" w:val="single"/>
              <w:left w:sz="4" w:val="nil"/>
              <w:bottom w:sz="4" w:val="nil"/>
              <w:right w:sz="4" w:val="nil"/>
            </w:tcBorders>
            <w:vAlign w:val="bottom"/>
          </w:tcPr>
          <w:p w14:paraId="0A000000">
            <w:pPr>
              <w:spacing w:after="0" w:before="12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1)</w:t>
            </w:r>
            <w:r>
              <w:rPr>
                <w:rFonts w:ascii="Times New Roman" w:hAnsi="Times New Roman"/>
                <w:sz w:val="24"/>
              </w:rPr>
              <w:t> По данным Отделения Пенсионного фонда Российской Федерации по Ульяновской области</w:t>
            </w:r>
          </w:p>
        </w:tc>
      </w:tr>
    </w:tbl>
    <w:p w14:paraId="0B000000">
      <w:pPr>
        <w:rPr>
          <w:rFonts w:ascii="Times New Roman" w:hAnsi="Times New Roman"/>
          <w:sz w:val="24"/>
        </w:rPr>
      </w:pPr>
    </w:p>
    <w:sectPr>
      <w:pgSz w:h="11906" w:w="16838"/>
      <w:pgMar w:bottom="851" w:footer="709" w:gutter="0" w:header="709" w:left="1134" w:right="1134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</w:pPr>
  </w:style>
  <w:style w:styleId="Style_3_ch" w:type="character">
    <w:name w:val="toc 2"/>
    <w:link w:val="Style_3"/>
  </w:style>
  <w:style w:styleId="Style_4" w:type="paragraph">
    <w:name w:val="toc 4"/>
    <w:next w:val="Style_2"/>
    <w:link w:val="Style_4_ch"/>
    <w:uiPriority w:val="39"/>
    <w:pPr>
      <w:ind w:firstLine="0" w:left="600"/>
    </w:pPr>
  </w:style>
  <w:style w:styleId="Style_4_ch" w:type="character">
    <w:name w:val="toc 4"/>
    <w:link w:val="Style_4"/>
  </w:style>
  <w:style w:styleId="Style_5" w:type="paragraph">
    <w:name w:val="toc 6"/>
    <w:next w:val="Style_2"/>
    <w:link w:val="Style_5_ch"/>
    <w:uiPriority w:val="39"/>
    <w:pPr>
      <w:ind w:firstLine="0" w:left="1000"/>
    </w:pPr>
  </w:style>
  <w:style w:styleId="Style_5_ch" w:type="character">
    <w:name w:val="toc 6"/>
    <w:link w:val="Style_5"/>
  </w:style>
  <w:style w:styleId="Style_6" w:type="paragraph">
    <w:name w:val="toc 7"/>
    <w:next w:val="Style_2"/>
    <w:link w:val="Style_6_ch"/>
    <w:uiPriority w:val="39"/>
    <w:pPr>
      <w:ind w:firstLine="0" w:left="1200"/>
    </w:pPr>
  </w:style>
  <w:style w:styleId="Style_6_ch" w:type="character">
    <w:name w:val="toc 7"/>
    <w:link w:val="Style_6"/>
  </w:style>
  <w:style w:styleId="Style_7" w:type="paragraph">
    <w:name w:val="heading 3"/>
    <w:next w:val="Style_2"/>
    <w:link w:val="Style_7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7_ch" w:type="character">
    <w:name w:val="heading 3"/>
    <w:link w:val="Style_7"/>
    <w:rPr>
      <w:rFonts w:ascii="XO Thames" w:hAnsi="XO Thames"/>
      <w:b w:val="1"/>
      <w:i w:val="1"/>
      <w:color w:val="000000"/>
    </w:rPr>
  </w:style>
  <w:style w:styleId="Style_8" w:type="paragraph">
    <w:name w:val="toc 3"/>
    <w:next w:val="Style_2"/>
    <w:link w:val="Style_8_ch"/>
    <w:uiPriority w:val="39"/>
    <w:pPr>
      <w:ind w:firstLine="0" w:left="400"/>
    </w:pPr>
  </w:style>
  <w:style w:styleId="Style_8_ch" w:type="character">
    <w:name w:val="toc 3"/>
    <w:link w:val="Style_8"/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9_ch" w:type="character">
    <w:name w:val="heading 5"/>
    <w:link w:val="Style_9"/>
    <w:rPr>
      <w:rFonts w:ascii="XO Thames" w:hAnsi="XO Thames"/>
      <w:b w:val="1"/>
      <w:color w:val="000000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/>
      <w:jc w:val="left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</w:pPr>
    <w:rPr>
      <w:rFonts w:ascii="XO Thames" w:hAnsi="XO Thames"/>
      <w:b w:val="1"/>
    </w:rPr>
  </w:style>
  <w:style w:styleId="Style_13_ch" w:type="character">
    <w:name w:val="toc 1"/>
    <w:link w:val="Style_13"/>
    <w:rPr>
      <w:rFonts w:ascii="XO Thames" w:hAnsi="XO Thames"/>
      <w:b w:val="1"/>
    </w:rPr>
  </w:style>
  <w:style w:styleId="Style_14" w:type="paragraph">
    <w:name w:val="Header and Footer"/>
    <w:link w:val="Style_14_ch"/>
    <w:pPr>
      <w:spacing w:line="360" w:lineRule="auto"/>
      <w:ind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2"/>
    <w:link w:val="Style_15_ch"/>
    <w:uiPriority w:val="39"/>
    <w:pPr>
      <w:ind w:firstLine="0" w:left="1600"/>
    </w:pPr>
  </w:style>
  <w:style w:styleId="Style_15_ch" w:type="character">
    <w:name w:val="toc 9"/>
    <w:link w:val="Style_15"/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8"/>
    <w:next w:val="Style_2"/>
    <w:link w:val="Style_17_ch"/>
    <w:uiPriority w:val="39"/>
    <w:pPr>
      <w:ind w:firstLine="0" w:left="1400"/>
    </w:pPr>
  </w:style>
  <w:style w:styleId="Style_17_ch" w:type="character">
    <w:name w:val="toc 8"/>
    <w:link w:val="Style_17"/>
  </w:style>
  <w:style w:styleId="Style_18" w:type="paragraph">
    <w:name w:val="toc 5"/>
    <w:next w:val="Style_2"/>
    <w:link w:val="Style_18_ch"/>
    <w:uiPriority w:val="39"/>
    <w:pPr>
      <w:ind w:firstLine="0" w:left="800"/>
    </w:pPr>
  </w:style>
  <w:style w:styleId="Style_18_ch" w:type="character">
    <w:name w:val="toc 5"/>
    <w:link w:val="Style_18"/>
  </w:style>
  <w:style w:styleId="Style_19" w:type="paragraph">
    <w:name w:val="List Paragraph"/>
    <w:basedOn w:val="Style_2"/>
    <w:link w:val="Style_19_ch"/>
    <w:pPr>
      <w:ind w:firstLine="0" w:left="720"/>
      <w:contextualSpacing w:val="1"/>
    </w:pPr>
  </w:style>
  <w:style w:styleId="Style_19_ch" w:type="character">
    <w:name w:val="List Paragraph"/>
    <w:basedOn w:val="Style_2_ch"/>
    <w:link w:val="Style_19"/>
  </w:style>
  <w:style w:styleId="Style_20" w:type="paragraph">
    <w:name w:val="Subtitle"/>
    <w:next w:val="Style_2"/>
    <w:link w:val="Style_20_ch"/>
    <w:uiPriority w:val="11"/>
    <w:qFormat/>
    <w:rPr>
      <w:rFonts w:ascii="XO Thames" w:hAnsi="XO Thames"/>
      <w:i w:val="1"/>
      <w:color w:val="616161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616161"/>
      <w:sz w:val="24"/>
    </w:rPr>
  </w:style>
  <w:style w:styleId="Style_21" w:type="paragraph">
    <w:name w:val="toc 10"/>
    <w:next w:val="Style_2"/>
    <w:link w:val="Style_21_ch"/>
    <w:uiPriority w:val="39"/>
    <w:pPr>
      <w:ind w:firstLine="0" w:left="1800"/>
    </w:pPr>
  </w:style>
  <w:style w:styleId="Style_21_ch" w:type="character">
    <w:name w:val="toc 10"/>
    <w:link w:val="Style_21"/>
  </w:style>
  <w:style w:styleId="Style_22" w:type="paragraph">
    <w:name w:val="Title"/>
    <w:next w:val="Style_2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2021-02-17T07:44:32Z</dcterms:modified>
</cp:coreProperties>
</file>